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5E1C" w14:textId="77777777" w:rsidR="000B6287" w:rsidRDefault="00000000">
      <w:pPr>
        <w:spacing w:after="60"/>
      </w:pPr>
      <w:r>
        <w:rPr>
          <w:noProof/>
        </w:rPr>
        <w:drawing>
          <wp:inline distT="0" distB="0" distL="0" distR="0" wp14:anchorId="19CA5E59" wp14:editId="19CA5E5A">
            <wp:extent cx="904875" cy="904875"/>
            <wp:effectExtent l="0" t="0" r="0" b="0"/>
            <wp:docPr id="1" name="TASS Logo" descr="Tadamun Social Society Logo" title="T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04875" cy="904875"/>
                    </a:xfrm>
                    <a:prstGeom prst="rect">
                      <a:avLst/>
                    </a:prstGeom>
                  </pic:spPr>
                </pic:pic>
              </a:graphicData>
            </a:graphic>
          </wp:inline>
        </w:drawing>
      </w:r>
    </w:p>
    <w:p w14:paraId="19CA5E1D" w14:textId="77777777" w:rsidR="000B6287" w:rsidRDefault="00000000">
      <w:pPr>
        <w:spacing w:before="60" w:after="200"/>
      </w:pPr>
      <w:r>
        <w:rPr>
          <w:rFonts w:ascii="Montserrat" w:eastAsia="Montserrat" w:hAnsi="Montserrat" w:cs="Montserrat"/>
          <w:color w:val="808080"/>
          <w:sz w:val="18"/>
          <w:szCs w:val="18"/>
        </w:rPr>
        <w:t xml:space="preserve">Making the </w:t>
      </w:r>
      <w:r>
        <w:rPr>
          <w:rFonts w:ascii="Montserrat" w:eastAsia="Montserrat" w:hAnsi="Montserrat" w:cs="Montserrat"/>
          <w:b/>
          <w:bCs/>
          <w:color w:val="1AB8E0"/>
          <w:sz w:val="18"/>
          <w:szCs w:val="18"/>
        </w:rPr>
        <w:t>Dream</w:t>
      </w:r>
      <w:r>
        <w:rPr>
          <w:rFonts w:ascii="Montserrat" w:eastAsia="Montserrat" w:hAnsi="Montserrat" w:cs="Montserrat"/>
          <w:color w:val="808080"/>
          <w:sz w:val="18"/>
          <w:szCs w:val="18"/>
        </w:rPr>
        <w:t xml:space="preserve"> of Prosperity into </w:t>
      </w:r>
      <w:r>
        <w:rPr>
          <w:rFonts w:ascii="Montserrat" w:eastAsia="Montserrat" w:hAnsi="Montserrat" w:cs="Montserrat"/>
          <w:b/>
          <w:bCs/>
          <w:color w:val="1AB8E0"/>
          <w:sz w:val="18"/>
          <w:szCs w:val="18"/>
        </w:rPr>
        <w:t>Reality</w:t>
      </w:r>
      <w:r>
        <w:rPr>
          <w:rFonts w:ascii="Montserrat" w:eastAsia="Montserrat" w:hAnsi="Montserrat" w:cs="Montserrat"/>
          <w:color w:val="808080"/>
          <w:sz w:val="18"/>
          <w:szCs w:val="18"/>
        </w:rPr>
        <w:t>.</w:t>
      </w:r>
    </w:p>
    <w:p w14:paraId="19CA5E1E" w14:textId="77777777" w:rsidR="000B6287" w:rsidRDefault="000B6287">
      <w:pPr>
        <w:pBdr>
          <w:bottom w:val="single" w:sz="24" w:space="1" w:color="1AB8E0"/>
        </w:pBdr>
        <w:spacing w:before="60" w:after="280"/>
      </w:pPr>
    </w:p>
    <w:p w14:paraId="19CA5E1F" w14:textId="51F80990" w:rsidR="000B6287" w:rsidRDefault="00000000">
      <w:pPr>
        <w:spacing w:after="80"/>
      </w:pPr>
      <w:r>
        <w:rPr>
          <w:rFonts w:ascii="Montserrat" w:eastAsia="Montserrat" w:hAnsi="Montserrat" w:cs="Montserrat"/>
          <w:b/>
          <w:bCs/>
          <w:color w:val="1F4D6B"/>
          <w:spacing w:val="30"/>
          <w:sz w:val="18"/>
          <w:szCs w:val="18"/>
        </w:rPr>
        <w:t xml:space="preserve">WATER, SANITATION AND </w:t>
      </w:r>
      <w:r w:rsidR="00D00AB0">
        <w:rPr>
          <w:rFonts w:ascii="Montserrat" w:eastAsia="Montserrat" w:hAnsi="Montserrat" w:cs="Montserrat"/>
          <w:b/>
          <w:bCs/>
          <w:color w:val="1F4D6B"/>
          <w:spacing w:val="30"/>
          <w:sz w:val="18"/>
          <w:szCs w:val="18"/>
        </w:rPr>
        <w:t>HYGIENE | LAAS</w:t>
      </w:r>
      <w:r>
        <w:rPr>
          <w:rFonts w:ascii="Montserrat" w:eastAsia="Montserrat" w:hAnsi="Montserrat" w:cs="Montserrat"/>
          <w:b/>
          <w:bCs/>
          <w:color w:val="1F4D6B"/>
          <w:spacing w:val="30"/>
          <w:sz w:val="18"/>
          <w:szCs w:val="18"/>
        </w:rPr>
        <w:t xml:space="preserve"> QORAY, </w:t>
      </w:r>
      <w:r w:rsidR="00D00AB0">
        <w:rPr>
          <w:rFonts w:ascii="Montserrat" w:eastAsia="Montserrat" w:hAnsi="Montserrat" w:cs="Montserrat"/>
          <w:b/>
          <w:bCs/>
          <w:color w:val="1F4D6B"/>
          <w:spacing w:val="30"/>
          <w:sz w:val="18"/>
          <w:szCs w:val="18"/>
        </w:rPr>
        <w:t>SANAAG | MAY</w:t>
      </w:r>
      <w:r>
        <w:rPr>
          <w:rFonts w:ascii="Montserrat" w:eastAsia="Montserrat" w:hAnsi="Montserrat" w:cs="Montserrat"/>
          <w:b/>
          <w:bCs/>
          <w:color w:val="1F4D6B"/>
          <w:spacing w:val="30"/>
          <w:sz w:val="18"/>
          <w:szCs w:val="18"/>
        </w:rPr>
        <w:t xml:space="preserve"> 2026</w:t>
      </w:r>
    </w:p>
    <w:p w14:paraId="19CA5E20" w14:textId="77777777" w:rsidR="000B6287" w:rsidRDefault="00000000">
      <w:pPr>
        <w:spacing w:before="120" w:after="80"/>
      </w:pPr>
      <w:r>
        <w:rPr>
          <w:rFonts w:ascii="Montserrat" w:eastAsia="Montserrat" w:hAnsi="Montserrat" w:cs="Montserrat"/>
          <w:b/>
          <w:bCs/>
          <w:color w:val="1F4D6B"/>
          <w:sz w:val="44"/>
          <w:szCs w:val="44"/>
        </w:rPr>
        <w:t xml:space="preserve">After Three Failed Rainy Seasons, Water Flows Again in Laas </w:t>
      </w:r>
      <w:proofErr w:type="spellStart"/>
      <w:r>
        <w:rPr>
          <w:rFonts w:ascii="Montserrat" w:eastAsia="Montserrat" w:hAnsi="Montserrat" w:cs="Montserrat"/>
          <w:b/>
          <w:bCs/>
          <w:color w:val="1F4D6B"/>
          <w:sz w:val="44"/>
          <w:szCs w:val="44"/>
        </w:rPr>
        <w:t>Qoray</w:t>
      </w:r>
      <w:proofErr w:type="spellEnd"/>
    </w:p>
    <w:p w14:paraId="19CA5E21" w14:textId="77777777" w:rsidR="000B6287" w:rsidRDefault="00000000">
      <w:pPr>
        <w:spacing w:before="80" w:after="320"/>
      </w:pPr>
      <w:r>
        <w:rPr>
          <w:i/>
          <w:iCs/>
          <w:sz w:val="24"/>
          <w:szCs w:val="24"/>
        </w:rPr>
        <w:t>How TASS, with funding from the Somalia Humanitarian Fund, restored permanent water sources, delivered emergency relief, and put community committees in charge of what comes next.</w:t>
      </w:r>
    </w:p>
    <w:p w14:paraId="19CA5E22" w14:textId="77777777" w:rsidR="000B6287" w:rsidRDefault="00000000">
      <w:pPr>
        <w:spacing w:before="320" w:after="160"/>
      </w:pPr>
      <w:r>
        <w:rPr>
          <w:noProof/>
        </w:rPr>
        <w:drawing>
          <wp:inline distT="0" distB="0" distL="0" distR="0" wp14:anchorId="19CA5E5B" wp14:editId="19CA5E5C">
            <wp:extent cx="285750" cy="285750"/>
            <wp:effectExtent l="0" t="0" r="0" b="0"/>
            <wp:docPr id="85298919" name="Why this work mattered" descr="Why this work mattered" title="Why this work mat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85750" cy="285750"/>
                    </a:xfrm>
                    <a:prstGeom prst="rect">
                      <a:avLst/>
                    </a:prstGeom>
                  </pic:spPr>
                </pic:pic>
              </a:graphicData>
            </a:graphic>
          </wp:inline>
        </w:drawing>
      </w:r>
      <w:r>
        <w:rPr>
          <w:rFonts w:ascii="Montserrat" w:eastAsia="Montserrat" w:hAnsi="Montserrat" w:cs="Montserrat"/>
          <w:b/>
          <w:bCs/>
          <w:color w:val="1AB8E0"/>
          <w:sz w:val="28"/>
          <w:szCs w:val="28"/>
        </w:rPr>
        <w:t xml:space="preserve">   Why this work mattered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30"/>
      </w:tblGrid>
      <w:tr w:rsidR="000B6287" w14:paraId="19CA5E24" w14:textId="77777777" w:rsidTr="004F2204">
        <w:tblPrEx>
          <w:tblCellMar>
            <w:top w:w="0" w:type="dxa"/>
            <w:bottom w:w="0" w:type="dxa"/>
          </w:tblCellMar>
        </w:tblPrEx>
        <w:trPr>
          <w:trHeight w:val="3924"/>
        </w:trPr>
        <w:tc>
          <w:tcPr>
            <w:tcW w:w="9360" w:type="dxa"/>
            <w:tcBorders>
              <w:top w:val="dashed" w:sz="6" w:space="0" w:color="1AB8E0"/>
              <w:left w:val="dashed" w:sz="6" w:space="0" w:color="1AB8E0"/>
              <w:bottom w:val="dashed" w:sz="6" w:space="0" w:color="1AB8E0"/>
              <w:right w:val="dashed" w:sz="6" w:space="0" w:color="1AB8E0"/>
            </w:tcBorders>
            <w:shd w:val="clear" w:color="auto" w:fill="F2F5F7"/>
            <w:tcMar>
              <w:top w:w="240" w:type="dxa"/>
              <w:left w:w="240" w:type="dxa"/>
              <w:bottom w:w="240" w:type="dxa"/>
              <w:right w:w="240" w:type="dxa"/>
            </w:tcMar>
            <w:vAlign w:val="center"/>
          </w:tcPr>
          <w:p w14:paraId="629402BE" w14:textId="77777777" w:rsidR="00BE25CF" w:rsidRDefault="00A079E3" w:rsidP="00BE25CF">
            <w:pPr>
              <w:keepNext/>
              <w:jc w:val="center"/>
            </w:pPr>
            <w:r>
              <w:rPr>
                <w:noProof/>
              </w:rPr>
              <w:drawing>
                <wp:inline distT="0" distB="0" distL="0" distR="0" wp14:anchorId="6D7FCF35" wp14:editId="79530FEC">
                  <wp:extent cx="5957667" cy="3482975"/>
                  <wp:effectExtent l="0" t="0" r="5080" b="3175"/>
                  <wp:docPr id="895227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27693" name="Picture 895227693"/>
                          <pic:cNvPicPr/>
                        </pic:nvPicPr>
                        <pic:blipFill>
                          <a:blip r:embed="rId9">
                            <a:extLst>
                              <a:ext uri="{28A0092B-C50C-407E-A947-70E740481C1C}">
                                <a14:useLocalDpi xmlns:a14="http://schemas.microsoft.com/office/drawing/2010/main" val="0"/>
                              </a:ext>
                            </a:extLst>
                          </a:blip>
                          <a:stretch>
                            <a:fillRect/>
                          </a:stretch>
                        </pic:blipFill>
                        <pic:spPr>
                          <a:xfrm>
                            <a:off x="0" y="0"/>
                            <a:ext cx="5958141" cy="3483252"/>
                          </a:xfrm>
                          <a:prstGeom prst="rect">
                            <a:avLst/>
                          </a:prstGeom>
                        </pic:spPr>
                      </pic:pic>
                    </a:graphicData>
                  </a:graphic>
                </wp:inline>
              </w:drawing>
            </w:r>
          </w:p>
          <w:p w14:paraId="19CA5E23" w14:textId="7DE7AA27" w:rsidR="000B6287" w:rsidRDefault="00BE25CF" w:rsidP="00BE25CF">
            <w:pPr>
              <w:pStyle w:val="Caption"/>
              <w:jc w:val="center"/>
            </w:pPr>
            <w:r w:rsidRPr="00E74D3E">
              <w:t xml:space="preserve">A </w:t>
            </w:r>
            <w:r w:rsidR="005C449A">
              <w:t xml:space="preserve">herd of goats drinks water at a newly </w:t>
            </w:r>
            <w:r w:rsidR="00DD76A1">
              <w:t>developed livestock</w:t>
            </w:r>
            <w:r w:rsidR="00DB7EBF">
              <w:t xml:space="preserve"> trough in </w:t>
            </w:r>
            <w:proofErr w:type="spellStart"/>
            <w:r w:rsidR="00DD76A1">
              <w:t>Ulxeed</w:t>
            </w:r>
            <w:proofErr w:type="spellEnd"/>
            <w:r w:rsidR="005709E6">
              <w:t xml:space="preserve"> </w:t>
            </w:r>
            <w:r w:rsidR="00DD76A1">
              <w:t xml:space="preserve">Village, Laas </w:t>
            </w:r>
            <w:proofErr w:type="spellStart"/>
            <w:r w:rsidR="00DD76A1">
              <w:t>Qoray</w:t>
            </w:r>
            <w:proofErr w:type="spellEnd"/>
            <w:r w:rsidR="00DD76A1">
              <w:t xml:space="preserve"> district</w:t>
            </w:r>
            <w:r w:rsidR="00A47A9D">
              <w:t xml:space="preserve">. </w:t>
            </w:r>
            <w:r w:rsidRPr="00E74D3E">
              <w:t xml:space="preserve"> </w:t>
            </w:r>
            <w:r w:rsidR="00156CDC" w:rsidRPr="00156CDC">
              <w:t>Photo Courtesy of TASS</w:t>
            </w:r>
          </w:p>
        </w:tc>
      </w:tr>
    </w:tbl>
    <w:p w14:paraId="19CA5E26" w14:textId="6A7BC6DC" w:rsidR="000B6287" w:rsidRDefault="00B778B4">
      <w:pPr>
        <w:spacing w:before="80" w:after="120" w:line="320" w:lineRule="auto"/>
        <w:jc w:val="both"/>
      </w:pPr>
      <w:r>
        <w:t>After t</w:t>
      </w:r>
      <w:r w:rsidR="00000000">
        <w:t xml:space="preserve">hree </w:t>
      </w:r>
      <w:r w:rsidR="008A0A27">
        <w:t xml:space="preserve">failed </w:t>
      </w:r>
      <w:r w:rsidR="00000000">
        <w:t xml:space="preserve">rainy seasons in a row across Sanaag </w:t>
      </w:r>
      <w:r w:rsidR="005709E6">
        <w:t>R</w:t>
      </w:r>
      <w:r w:rsidR="00000000">
        <w:t>egion</w:t>
      </w:r>
      <w:r w:rsidR="005709E6">
        <w:t xml:space="preserve"> of Somalia</w:t>
      </w:r>
      <w:r w:rsidR="0045068B">
        <w:t xml:space="preserve">, </w:t>
      </w:r>
      <w:r w:rsidR="00000000">
        <w:t xml:space="preserve">livestock had </w:t>
      </w:r>
      <w:r w:rsidR="0045068B">
        <w:t xml:space="preserve">began dying </w:t>
      </w:r>
      <w:r w:rsidR="00000000">
        <w:t xml:space="preserve">in numbers families could not count. </w:t>
      </w:r>
      <w:proofErr w:type="spellStart"/>
      <w:r w:rsidR="00000000">
        <w:t>Berk</w:t>
      </w:r>
      <w:r w:rsidR="006F6A4D">
        <w:t>e</w:t>
      </w:r>
      <w:r w:rsidR="00000000">
        <w:t>ds</w:t>
      </w:r>
      <w:proofErr w:type="spellEnd"/>
      <w:r w:rsidR="00000000">
        <w:t xml:space="preserve"> stood empty.</w:t>
      </w:r>
      <w:r w:rsidR="005709E6">
        <w:t xml:space="preserve"> W</w:t>
      </w:r>
      <w:r w:rsidR="00000000">
        <w:t xml:space="preserve">omen and girls walked further each day for water, and the water they found was rarely clean. Boreholes that once </w:t>
      </w:r>
      <w:r w:rsidR="00000000">
        <w:lastRenderedPageBreak/>
        <w:t xml:space="preserve">served whole villages stood silent. The borehole in </w:t>
      </w:r>
      <w:proofErr w:type="spellStart"/>
      <w:r w:rsidR="00000000">
        <w:t>Ulxeed</w:t>
      </w:r>
      <w:proofErr w:type="spellEnd"/>
      <w:r w:rsidR="00000000">
        <w:t xml:space="preserve"> had been dormant for three years. Households were paying private vendors prices they could no longer afford.</w:t>
      </w:r>
    </w:p>
    <w:p w14:paraId="19CA5E27" w14:textId="54D3B71A" w:rsidR="000B6287" w:rsidRDefault="00000000">
      <w:pPr>
        <w:spacing w:before="80" w:after="120" w:line="320" w:lineRule="auto"/>
        <w:jc w:val="both"/>
      </w:pPr>
      <w:r>
        <w:t xml:space="preserve">This was the situation TASS faced in December 2025 when work began on a seven-month emergency WASH response in Laas </w:t>
      </w:r>
      <w:proofErr w:type="spellStart"/>
      <w:r>
        <w:t>Qoray</w:t>
      </w:r>
      <w:proofErr w:type="spellEnd"/>
      <w:r>
        <w:t xml:space="preserve">, funded by the Somalia Humanitarian Fund (SHF) under project CBPF-SOM-25-R-NGO-38186 </w:t>
      </w:r>
      <w:r w:rsidR="006F6A4D">
        <w:t xml:space="preserve">with a </w:t>
      </w:r>
      <w:r>
        <w:t>budget of USD 303,999.</w:t>
      </w:r>
    </w:p>
    <w:p w14:paraId="19CA5E28" w14:textId="77777777" w:rsidR="000B6287" w:rsidRDefault="00000000">
      <w:pPr>
        <w:spacing w:before="320" w:after="160"/>
      </w:pPr>
      <w:r>
        <w:rPr>
          <w:noProof/>
        </w:rPr>
        <w:drawing>
          <wp:inline distT="0" distB="0" distL="0" distR="0" wp14:anchorId="19CA5E5D" wp14:editId="19CA5E5E">
            <wp:extent cx="285750" cy="285750"/>
            <wp:effectExtent l="0" t="0" r="0" b="0"/>
            <wp:docPr id="1180238434" name="Who the project serves, and where" descr="Who the project serves, and where" title="Who the project serves, and w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85750" cy="285750"/>
                    </a:xfrm>
                    <a:prstGeom prst="rect">
                      <a:avLst/>
                    </a:prstGeom>
                  </pic:spPr>
                </pic:pic>
              </a:graphicData>
            </a:graphic>
          </wp:inline>
        </w:drawing>
      </w:r>
      <w:r>
        <w:rPr>
          <w:rFonts w:ascii="Montserrat" w:eastAsia="Montserrat" w:hAnsi="Montserrat" w:cs="Montserrat"/>
          <w:b/>
          <w:bCs/>
          <w:color w:val="1AB8E0"/>
          <w:sz w:val="28"/>
          <w:szCs w:val="28"/>
        </w:rPr>
        <w:t xml:space="preserve">   Who the project serves, and where</w:t>
      </w:r>
    </w:p>
    <w:p w14:paraId="19CA5E29" w14:textId="77777777" w:rsidR="000B6287" w:rsidRDefault="00000000">
      <w:pPr>
        <w:spacing w:before="80" w:after="120" w:line="320" w:lineRule="auto"/>
        <w:jc w:val="both"/>
      </w:pPr>
      <w:r>
        <w:t xml:space="preserve">The project set out to reach 16,254 highly vulnerable people across ten settlements in Laas </w:t>
      </w:r>
      <w:proofErr w:type="spellStart"/>
      <w:r>
        <w:t>Qoray</w:t>
      </w:r>
      <w:proofErr w:type="spellEnd"/>
      <w:r>
        <w:t xml:space="preserve"> District, Sanaag region. The targeted villages, Ceelaayo, </w:t>
      </w:r>
      <w:proofErr w:type="spellStart"/>
      <w:r>
        <w:t>Buraan</w:t>
      </w:r>
      <w:proofErr w:type="spellEnd"/>
      <w:r>
        <w:t xml:space="preserve">, </w:t>
      </w:r>
      <w:proofErr w:type="spellStart"/>
      <w:r>
        <w:t>Durduri</w:t>
      </w:r>
      <w:proofErr w:type="spellEnd"/>
      <w:r>
        <w:t xml:space="preserve">, </w:t>
      </w:r>
      <w:proofErr w:type="spellStart"/>
      <w:r>
        <w:t>Ulxeed</w:t>
      </w:r>
      <w:proofErr w:type="spellEnd"/>
      <w:r>
        <w:t xml:space="preserve">, </w:t>
      </w:r>
      <w:proofErr w:type="spellStart"/>
      <w:r>
        <w:t>Habarshiro</w:t>
      </w:r>
      <w:proofErr w:type="spellEnd"/>
      <w:r>
        <w:t xml:space="preserve">, </w:t>
      </w:r>
      <w:proofErr w:type="spellStart"/>
      <w:r>
        <w:t>Kaladhacda</w:t>
      </w:r>
      <w:proofErr w:type="spellEnd"/>
      <w:r>
        <w:t xml:space="preserve">, </w:t>
      </w:r>
      <w:proofErr w:type="spellStart"/>
      <w:r>
        <w:t>Sibaayo</w:t>
      </w:r>
      <w:proofErr w:type="spellEnd"/>
      <w:r>
        <w:t xml:space="preserve">, </w:t>
      </w:r>
      <w:proofErr w:type="spellStart"/>
      <w:r>
        <w:t>Balibusle</w:t>
      </w:r>
      <w:proofErr w:type="spellEnd"/>
      <w:r>
        <w:t xml:space="preserve">, </w:t>
      </w:r>
      <w:proofErr w:type="spellStart"/>
      <w:r>
        <w:t>Caadsaaran</w:t>
      </w:r>
      <w:proofErr w:type="spellEnd"/>
      <w:r>
        <w:t xml:space="preserve">, and the </w:t>
      </w:r>
      <w:proofErr w:type="spellStart"/>
      <w:r>
        <w:t>Dhanaha</w:t>
      </w:r>
      <w:proofErr w:type="spellEnd"/>
      <w:r>
        <w:t xml:space="preserve"> IDP camp, are pastoralist settlements where drought stripped families of their herds and of the means to buy water from private vendors.</w:t>
      </w:r>
    </w:p>
    <w:p w14:paraId="19CA5E2A" w14:textId="1147886F" w:rsidR="000B6287" w:rsidRDefault="00000000">
      <w:pPr>
        <w:spacing w:before="80" w:after="120" w:line="320" w:lineRule="auto"/>
        <w:jc w:val="both"/>
      </w:pPr>
      <w:r>
        <w:t xml:space="preserve">Selection followed Vulnerability Based Targeting (VBT). Households with acutely malnourished children, pregnant </w:t>
      </w:r>
      <w:r w:rsidR="00AD60D2">
        <w:t xml:space="preserve">and breastfeeding </w:t>
      </w:r>
      <w:r>
        <w:t>women, homebound elderly people, and people living with disabilities (</w:t>
      </w:r>
      <w:proofErr w:type="spellStart"/>
      <w:r>
        <w:t>PLWDs</w:t>
      </w:r>
      <w:proofErr w:type="spellEnd"/>
      <w:r>
        <w:t>) took priority. Beneficiary lists were validated jointly with community committees rather than imposed from outside.</w:t>
      </w:r>
    </w:p>
    <w:p w14:paraId="19CA5E2B" w14:textId="77777777" w:rsidR="000B6287" w:rsidRDefault="00000000">
      <w:pPr>
        <w:spacing w:before="280" w:after="120"/>
      </w:pPr>
      <w:r>
        <w:rPr>
          <w:rFonts w:ascii="Montserrat" w:eastAsia="Montserrat" w:hAnsi="Montserrat" w:cs="Montserrat"/>
          <w:b/>
          <w:bCs/>
          <w:color w:val="1AB8E0"/>
          <w:spacing w:val="30"/>
          <w:sz w:val="20"/>
          <w:szCs w:val="20"/>
        </w:rPr>
        <w:t>WHO THE PROJECT REACHES</w:t>
      </w:r>
    </w:p>
    <w:p w14:paraId="19CA5E2C" w14:textId="6E259951" w:rsidR="000B6287" w:rsidRDefault="00000000">
      <w:pPr>
        <w:spacing w:after="200"/>
      </w:pPr>
      <w:r>
        <w:rPr>
          <w:i/>
          <w:iCs/>
          <w:sz w:val="20"/>
          <w:szCs w:val="20"/>
        </w:rPr>
        <w:t xml:space="preserve">16,254 highly vulnerable people across ten settlements in Laas </w:t>
      </w:r>
      <w:proofErr w:type="spellStart"/>
      <w:r>
        <w:rPr>
          <w:i/>
          <w:iCs/>
          <w:sz w:val="20"/>
          <w:szCs w:val="20"/>
        </w:rPr>
        <w:t>Qoray</w:t>
      </w:r>
      <w:proofErr w:type="spellEnd"/>
      <w:r>
        <w:rPr>
          <w:i/>
          <w:iCs/>
          <w:sz w:val="20"/>
          <w:szCs w:val="20"/>
        </w:rPr>
        <w:t xml:space="preserve"> District</w:t>
      </w:r>
      <w:r w:rsidR="00070012">
        <w:rPr>
          <w:i/>
          <w:iCs/>
          <w:sz w:val="20"/>
          <w:szCs w:val="2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0B6287" w14:paraId="19CA5E35" w14:textId="77777777">
        <w:tblPrEx>
          <w:tblCellMar>
            <w:top w:w="0" w:type="dxa"/>
            <w:bottom w:w="0" w:type="dxa"/>
          </w:tblCellMar>
        </w:tblPrEx>
        <w:trPr>
          <w:tblHeader/>
        </w:trPr>
        <w:tc>
          <w:tcPr>
            <w:tcW w:w="2340" w:type="dxa"/>
            <w:tcBorders>
              <w:top w:val="single" w:sz="4" w:space="0" w:color="1AB8E0"/>
              <w:left w:val="single" w:sz="4" w:space="0" w:color="1AB8E0"/>
              <w:bottom w:val="single" w:sz="4" w:space="0" w:color="1AB8E0"/>
              <w:right w:val="single" w:sz="4" w:space="0" w:color="1AB8E0"/>
            </w:tcBorders>
            <w:shd w:val="clear" w:color="auto" w:fill="FFFFFF"/>
            <w:tcMar>
              <w:top w:w="100" w:type="dxa"/>
              <w:left w:w="160" w:type="dxa"/>
              <w:bottom w:w="100" w:type="dxa"/>
              <w:right w:w="160" w:type="dxa"/>
            </w:tcMar>
            <w:vAlign w:val="center"/>
          </w:tcPr>
          <w:p w14:paraId="19CA5E2D" w14:textId="77777777" w:rsidR="000B6287" w:rsidRDefault="00000000">
            <w:pPr>
              <w:spacing w:before="40" w:after="20"/>
              <w:jc w:val="center"/>
            </w:pPr>
            <w:r>
              <w:rPr>
                <w:rFonts w:ascii="Montserrat" w:eastAsia="Montserrat" w:hAnsi="Montserrat" w:cs="Montserrat"/>
                <w:b/>
                <w:bCs/>
                <w:color w:val="1F4D6B"/>
                <w:sz w:val="30"/>
                <w:szCs w:val="30"/>
              </w:rPr>
              <w:t>6,339</w:t>
            </w:r>
          </w:p>
          <w:p w14:paraId="19CA5E2E" w14:textId="77777777" w:rsidR="000B6287" w:rsidRDefault="00000000">
            <w:pPr>
              <w:spacing w:after="40"/>
              <w:jc w:val="center"/>
            </w:pPr>
            <w:r>
              <w:rPr>
                <w:sz w:val="16"/>
                <w:szCs w:val="16"/>
              </w:rPr>
              <w:t>Women (≥18)</w:t>
            </w:r>
          </w:p>
        </w:tc>
        <w:tc>
          <w:tcPr>
            <w:tcW w:w="2340" w:type="dxa"/>
            <w:tcBorders>
              <w:top w:val="single" w:sz="4" w:space="0" w:color="1AB8E0"/>
              <w:left w:val="single" w:sz="4" w:space="0" w:color="1AB8E0"/>
              <w:bottom w:val="single" w:sz="4" w:space="0" w:color="1AB8E0"/>
              <w:right w:val="single" w:sz="4" w:space="0" w:color="1AB8E0"/>
            </w:tcBorders>
            <w:shd w:val="clear" w:color="auto" w:fill="FFFFFF"/>
            <w:tcMar>
              <w:top w:w="100" w:type="dxa"/>
              <w:left w:w="160" w:type="dxa"/>
              <w:bottom w:w="100" w:type="dxa"/>
              <w:right w:w="160" w:type="dxa"/>
            </w:tcMar>
            <w:vAlign w:val="center"/>
          </w:tcPr>
          <w:p w14:paraId="19CA5E2F" w14:textId="77777777" w:rsidR="000B6287" w:rsidRDefault="00000000">
            <w:pPr>
              <w:spacing w:before="40" w:after="20"/>
              <w:jc w:val="center"/>
            </w:pPr>
            <w:r>
              <w:rPr>
                <w:rFonts w:ascii="Montserrat" w:eastAsia="Montserrat" w:hAnsi="Montserrat" w:cs="Montserrat"/>
                <w:b/>
                <w:bCs/>
                <w:color w:val="1F4D6B"/>
                <w:sz w:val="30"/>
                <w:szCs w:val="30"/>
              </w:rPr>
              <w:t>3,345</w:t>
            </w:r>
          </w:p>
          <w:p w14:paraId="19CA5E30" w14:textId="77777777" w:rsidR="000B6287" w:rsidRDefault="00000000">
            <w:pPr>
              <w:spacing w:after="40"/>
              <w:jc w:val="center"/>
            </w:pPr>
            <w:r>
              <w:rPr>
                <w:sz w:val="16"/>
                <w:szCs w:val="16"/>
              </w:rPr>
              <w:t>Girls (&lt;18)</w:t>
            </w:r>
          </w:p>
        </w:tc>
        <w:tc>
          <w:tcPr>
            <w:tcW w:w="2340" w:type="dxa"/>
            <w:tcBorders>
              <w:top w:val="single" w:sz="4" w:space="0" w:color="1AB8E0"/>
              <w:left w:val="single" w:sz="4" w:space="0" w:color="1AB8E0"/>
              <w:bottom w:val="single" w:sz="4" w:space="0" w:color="1AB8E0"/>
              <w:right w:val="single" w:sz="4" w:space="0" w:color="1AB8E0"/>
            </w:tcBorders>
            <w:shd w:val="clear" w:color="auto" w:fill="FFFFFF"/>
            <w:tcMar>
              <w:top w:w="100" w:type="dxa"/>
              <w:left w:w="160" w:type="dxa"/>
              <w:bottom w:w="100" w:type="dxa"/>
              <w:right w:w="160" w:type="dxa"/>
            </w:tcMar>
            <w:vAlign w:val="center"/>
          </w:tcPr>
          <w:p w14:paraId="19CA5E31" w14:textId="77777777" w:rsidR="000B6287" w:rsidRDefault="00000000">
            <w:pPr>
              <w:spacing w:before="40" w:after="20"/>
              <w:jc w:val="center"/>
            </w:pPr>
            <w:r>
              <w:rPr>
                <w:rFonts w:ascii="Montserrat" w:eastAsia="Montserrat" w:hAnsi="Montserrat" w:cs="Montserrat"/>
                <w:b/>
                <w:bCs/>
                <w:color w:val="1F4D6B"/>
                <w:sz w:val="30"/>
                <w:szCs w:val="30"/>
              </w:rPr>
              <w:t>3,306</w:t>
            </w:r>
          </w:p>
          <w:p w14:paraId="19CA5E32" w14:textId="77777777" w:rsidR="000B6287" w:rsidRDefault="00000000">
            <w:pPr>
              <w:spacing w:after="40"/>
              <w:jc w:val="center"/>
            </w:pPr>
            <w:r>
              <w:rPr>
                <w:sz w:val="16"/>
                <w:szCs w:val="16"/>
              </w:rPr>
              <w:t>Men (≥18)</w:t>
            </w:r>
          </w:p>
        </w:tc>
        <w:tc>
          <w:tcPr>
            <w:tcW w:w="2340" w:type="dxa"/>
            <w:tcBorders>
              <w:top w:val="single" w:sz="4" w:space="0" w:color="1AB8E0"/>
              <w:left w:val="single" w:sz="4" w:space="0" w:color="1AB8E0"/>
              <w:bottom w:val="single" w:sz="4" w:space="0" w:color="1AB8E0"/>
              <w:right w:val="single" w:sz="4" w:space="0" w:color="1AB8E0"/>
            </w:tcBorders>
            <w:shd w:val="clear" w:color="auto" w:fill="FFFFFF"/>
            <w:tcMar>
              <w:top w:w="100" w:type="dxa"/>
              <w:left w:w="160" w:type="dxa"/>
              <w:bottom w:w="100" w:type="dxa"/>
              <w:right w:w="160" w:type="dxa"/>
            </w:tcMar>
            <w:vAlign w:val="center"/>
          </w:tcPr>
          <w:p w14:paraId="19CA5E33" w14:textId="77777777" w:rsidR="000B6287" w:rsidRDefault="00000000">
            <w:pPr>
              <w:spacing w:before="40" w:after="20"/>
              <w:jc w:val="center"/>
            </w:pPr>
            <w:r>
              <w:rPr>
                <w:rFonts w:ascii="Montserrat" w:eastAsia="Montserrat" w:hAnsi="Montserrat" w:cs="Montserrat"/>
                <w:b/>
                <w:bCs/>
                <w:color w:val="1F4D6B"/>
                <w:sz w:val="30"/>
                <w:szCs w:val="30"/>
              </w:rPr>
              <w:t>3,264</w:t>
            </w:r>
          </w:p>
          <w:p w14:paraId="19CA5E34" w14:textId="77777777" w:rsidR="000B6287" w:rsidRDefault="00000000">
            <w:pPr>
              <w:spacing w:after="40"/>
              <w:jc w:val="center"/>
            </w:pPr>
            <w:r>
              <w:rPr>
                <w:sz w:val="16"/>
                <w:szCs w:val="16"/>
              </w:rPr>
              <w:t>Boys (&lt;18)</w:t>
            </w:r>
          </w:p>
        </w:tc>
      </w:tr>
    </w:tbl>
    <w:p w14:paraId="19CA5E36" w14:textId="77777777" w:rsidR="000B6287" w:rsidRDefault="000B628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0B6287" w14:paraId="19CA5E3F" w14:textId="77777777">
        <w:tblPrEx>
          <w:tblCellMar>
            <w:top w:w="0" w:type="dxa"/>
            <w:bottom w:w="0" w:type="dxa"/>
          </w:tblCellMar>
        </w:tblPrEx>
        <w:tc>
          <w:tcPr>
            <w:tcW w:w="2340" w:type="dxa"/>
            <w:tcBorders>
              <w:top w:val="single" w:sz="4" w:space="0" w:color="1AB8E0"/>
              <w:left w:val="single" w:sz="4" w:space="0" w:color="1AB8E0"/>
              <w:bottom w:val="single" w:sz="4" w:space="0" w:color="1AB8E0"/>
              <w:right w:val="single" w:sz="4" w:space="0" w:color="1AB8E0"/>
            </w:tcBorders>
            <w:shd w:val="clear" w:color="auto" w:fill="FFFFFF"/>
            <w:tcMar>
              <w:top w:w="100" w:type="dxa"/>
              <w:left w:w="160" w:type="dxa"/>
              <w:bottom w:w="100" w:type="dxa"/>
              <w:right w:w="160" w:type="dxa"/>
            </w:tcMar>
            <w:vAlign w:val="center"/>
          </w:tcPr>
          <w:p w14:paraId="19CA5E37" w14:textId="77777777" w:rsidR="000B6287" w:rsidRDefault="00000000">
            <w:pPr>
              <w:spacing w:before="40" w:after="20"/>
              <w:jc w:val="center"/>
            </w:pPr>
            <w:r>
              <w:rPr>
                <w:rFonts w:ascii="Montserrat" w:eastAsia="Montserrat" w:hAnsi="Montserrat" w:cs="Montserrat"/>
                <w:b/>
                <w:bCs/>
                <w:color w:val="1F4D6B"/>
                <w:sz w:val="30"/>
                <w:szCs w:val="30"/>
              </w:rPr>
              <w:t>5,661</w:t>
            </w:r>
          </w:p>
          <w:p w14:paraId="19CA5E38" w14:textId="77777777" w:rsidR="000B6287" w:rsidRDefault="00000000">
            <w:pPr>
              <w:spacing w:after="40"/>
              <w:jc w:val="center"/>
            </w:pPr>
            <w:r>
              <w:rPr>
                <w:sz w:val="16"/>
                <w:szCs w:val="16"/>
              </w:rPr>
              <w:t>IDPs</w:t>
            </w:r>
          </w:p>
        </w:tc>
        <w:tc>
          <w:tcPr>
            <w:tcW w:w="2340" w:type="dxa"/>
            <w:tcBorders>
              <w:top w:val="single" w:sz="4" w:space="0" w:color="1AB8E0"/>
              <w:left w:val="single" w:sz="4" w:space="0" w:color="1AB8E0"/>
              <w:bottom w:val="single" w:sz="4" w:space="0" w:color="1AB8E0"/>
              <w:right w:val="single" w:sz="4" w:space="0" w:color="1AB8E0"/>
            </w:tcBorders>
            <w:shd w:val="clear" w:color="auto" w:fill="FFFFFF"/>
            <w:tcMar>
              <w:top w:w="100" w:type="dxa"/>
              <w:left w:w="160" w:type="dxa"/>
              <w:bottom w:w="100" w:type="dxa"/>
              <w:right w:w="160" w:type="dxa"/>
            </w:tcMar>
            <w:vAlign w:val="center"/>
          </w:tcPr>
          <w:p w14:paraId="19CA5E39" w14:textId="77777777" w:rsidR="000B6287" w:rsidRDefault="00000000">
            <w:pPr>
              <w:spacing w:before="40" w:after="20"/>
              <w:jc w:val="center"/>
            </w:pPr>
            <w:r>
              <w:rPr>
                <w:rFonts w:ascii="Montserrat" w:eastAsia="Montserrat" w:hAnsi="Montserrat" w:cs="Montserrat"/>
                <w:b/>
                <w:bCs/>
                <w:color w:val="1F4D6B"/>
                <w:sz w:val="30"/>
                <w:szCs w:val="30"/>
              </w:rPr>
              <w:t>7,965</w:t>
            </w:r>
          </w:p>
          <w:p w14:paraId="19CA5E3A" w14:textId="77777777" w:rsidR="000B6287" w:rsidRDefault="00000000">
            <w:pPr>
              <w:spacing w:after="40"/>
              <w:jc w:val="center"/>
            </w:pPr>
            <w:r>
              <w:rPr>
                <w:sz w:val="16"/>
                <w:szCs w:val="16"/>
              </w:rPr>
              <w:t>Host community</w:t>
            </w:r>
          </w:p>
        </w:tc>
        <w:tc>
          <w:tcPr>
            <w:tcW w:w="2340" w:type="dxa"/>
            <w:tcBorders>
              <w:top w:val="single" w:sz="4" w:space="0" w:color="1AB8E0"/>
              <w:left w:val="single" w:sz="4" w:space="0" w:color="1AB8E0"/>
              <w:bottom w:val="single" w:sz="4" w:space="0" w:color="1AB8E0"/>
              <w:right w:val="single" w:sz="4" w:space="0" w:color="1AB8E0"/>
            </w:tcBorders>
            <w:shd w:val="clear" w:color="auto" w:fill="FFFFFF"/>
            <w:tcMar>
              <w:top w:w="100" w:type="dxa"/>
              <w:left w:w="160" w:type="dxa"/>
              <w:bottom w:w="100" w:type="dxa"/>
              <w:right w:w="160" w:type="dxa"/>
            </w:tcMar>
            <w:vAlign w:val="center"/>
          </w:tcPr>
          <w:p w14:paraId="19CA5E3B" w14:textId="77777777" w:rsidR="000B6287" w:rsidRDefault="00000000">
            <w:pPr>
              <w:spacing w:before="40" w:after="20"/>
              <w:jc w:val="center"/>
            </w:pPr>
            <w:r>
              <w:rPr>
                <w:rFonts w:ascii="Montserrat" w:eastAsia="Montserrat" w:hAnsi="Montserrat" w:cs="Montserrat"/>
                <w:b/>
                <w:bCs/>
                <w:color w:val="1F4D6B"/>
                <w:sz w:val="30"/>
                <w:szCs w:val="30"/>
              </w:rPr>
              <w:t>115</w:t>
            </w:r>
          </w:p>
          <w:p w14:paraId="19CA5E3C" w14:textId="77777777" w:rsidR="000B6287" w:rsidRDefault="00000000">
            <w:pPr>
              <w:spacing w:after="40"/>
              <w:jc w:val="center"/>
            </w:pPr>
            <w:r>
              <w:rPr>
                <w:sz w:val="16"/>
                <w:szCs w:val="16"/>
              </w:rPr>
              <w:t>Refugees &amp; returnees</w:t>
            </w:r>
          </w:p>
        </w:tc>
        <w:tc>
          <w:tcPr>
            <w:tcW w:w="2340" w:type="dxa"/>
            <w:tcBorders>
              <w:top w:val="single" w:sz="4" w:space="0" w:color="1AB8E0"/>
              <w:left w:val="single" w:sz="4" w:space="0" w:color="1AB8E0"/>
              <w:bottom w:val="single" w:sz="4" w:space="0" w:color="1AB8E0"/>
              <w:right w:val="single" w:sz="4" w:space="0" w:color="1AB8E0"/>
            </w:tcBorders>
            <w:shd w:val="clear" w:color="auto" w:fill="FFFFFF"/>
            <w:tcMar>
              <w:top w:w="100" w:type="dxa"/>
              <w:left w:w="160" w:type="dxa"/>
              <w:bottom w:w="100" w:type="dxa"/>
              <w:right w:w="160" w:type="dxa"/>
            </w:tcMar>
            <w:vAlign w:val="center"/>
          </w:tcPr>
          <w:p w14:paraId="19CA5E3D" w14:textId="77777777" w:rsidR="000B6287" w:rsidRDefault="00000000">
            <w:pPr>
              <w:spacing w:before="40" w:after="20"/>
              <w:jc w:val="center"/>
            </w:pPr>
            <w:r>
              <w:rPr>
                <w:rFonts w:ascii="Montserrat" w:eastAsia="Montserrat" w:hAnsi="Montserrat" w:cs="Montserrat"/>
                <w:b/>
                <w:bCs/>
                <w:color w:val="1F4D6B"/>
                <w:sz w:val="30"/>
                <w:szCs w:val="30"/>
              </w:rPr>
              <w:t>1,118</w:t>
            </w:r>
          </w:p>
          <w:p w14:paraId="19CA5E3E" w14:textId="77777777" w:rsidR="000B6287" w:rsidRDefault="00000000">
            <w:pPr>
              <w:spacing w:after="40"/>
              <w:jc w:val="center"/>
            </w:pPr>
            <w:r>
              <w:rPr>
                <w:sz w:val="16"/>
                <w:szCs w:val="16"/>
              </w:rPr>
              <w:t>Persons living with disabilities</w:t>
            </w:r>
          </w:p>
        </w:tc>
      </w:tr>
    </w:tbl>
    <w:p w14:paraId="19CA5E40" w14:textId="77777777" w:rsidR="000B6287" w:rsidRDefault="00000000">
      <w:pPr>
        <w:spacing w:before="320" w:after="160"/>
      </w:pPr>
      <w:r>
        <w:rPr>
          <w:noProof/>
        </w:rPr>
        <w:drawing>
          <wp:inline distT="0" distB="0" distL="0" distR="0" wp14:anchorId="19CA5E5F" wp14:editId="19CA5E60">
            <wp:extent cx="285750" cy="285750"/>
            <wp:effectExtent l="0" t="0" r="0" b="0"/>
            <wp:docPr id="264241714" name="What TASS did — three integrated streams" descr="What TASS did — three integrated streams" title="What TASS did — three integrated str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85750" cy="285750"/>
                    </a:xfrm>
                    <a:prstGeom prst="rect">
                      <a:avLst/>
                    </a:prstGeom>
                  </pic:spPr>
                </pic:pic>
              </a:graphicData>
            </a:graphic>
          </wp:inline>
        </w:drawing>
      </w:r>
      <w:r>
        <w:rPr>
          <w:rFonts w:ascii="Montserrat" w:eastAsia="Montserrat" w:hAnsi="Montserrat" w:cs="Montserrat"/>
          <w:b/>
          <w:bCs/>
          <w:color w:val="1AB8E0"/>
          <w:sz w:val="28"/>
          <w:szCs w:val="28"/>
        </w:rPr>
        <w:t xml:space="preserve">   What TASS did — three integrated streams</w:t>
      </w:r>
    </w:p>
    <w:p w14:paraId="19CA5E41" w14:textId="77777777" w:rsidR="000B6287" w:rsidRDefault="00000000">
      <w:pPr>
        <w:spacing w:before="80" w:after="120" w:line="320" w:lineRule="auto"/>
        <w:jc w:val="both"/>
      </w:pPr>
      <w:r>
        <w:t>TASS designed the response as three linked streams of work, each addressing a different layer of the crisis.</w:t>
      </w:r>
    </w:p>
    <w:p w14:paraId="50BE4BF1" w14:textId="77777777" w:rsidR="00EC7BCA" w:rsidRDefault="00EC7BCA">
      <w:pPr>
        <w:rPr>
          <w:rFonts w:ascii="Montserrat" w:eastAsia="Montserrat" w:hAnsi="Montserrat" w:cs="Montserrat"/>
          <w:b/>
          <w:bCs/>
          <w:color w:val="1AB8E0"/>
          <w:sz w:val="26"/>
          <w:szCs w:val="26"/>
        </w:rPr>
      </w:pPr>
      <w:r>
        <w:rPr>
          <w:rFonts w:ascii="Montserrat" w:eastAsia="Montserrat" w:hAnsi="Montserrat" w:cs="Montserrat"/>
          <w:b/>
          <w:bCs/>
          <w:color w:val="1AB8E0"/>
          <w:sz w:val="26"/>
          <w:szCs w:val="26"/>
        </w:rPr>
        <w:br w:type="page"/>
      </w:r>
    </w:p>
    <w:p w14:paraId="19CA5E42" w14:textId="3F0C2A44" w:rsidR="000B6287" w:rsidRDefault="00000000">
      <w:pPr>
        <w:spacing w:before="280" w:after="160"/>
      </w:pPr>
      <w:r>
        <w:rPr>
          <w:rFonts w:ascii="Montserrat" w:eastAsia="Montserrat" w:hAnsi="Montserrat" w:cs="Montserrat"/>
          <w:b/>
          <w:bCs/>
          <w:color w:val="1AB8E0"/>
          <w:sz w:val="26"/>
          <w:szCs w:val="26"/>
        </w:rPr>
        <w:lastRenderedPageBreak/>
        <w:t>Restoring permanent water sources</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96"/>
      </w:tblGrid>
      <w:tr w:rsidR="000B6287" w14:paraId="19CA5E44" w14:textId="77777777" w:rsidTr="00EC7BCA">
        <w:tblPrEx>
          <w:tblCellMar>
            <w:top w:w="0" w:type="dxa"/>
            <w:bottom w:w="0" w:type="dxa"/>
          </w:tblCellMar>
        </w:tblPrEx>
        <w:trPr>
          <w:trHeight w:val="3519"/>
        </w:trPr>
        <w:tc>
          <w:tcPr>
            <w:tcW w:w="9680" w:type="dxa"/>
            <w:tcBorders>
              <w:top w:val="dashed" w:sz="6" w:space="0" w:color="1AB8E0"/>
              <w:left w:val="dashed" w:sz="6" w:space="0" w:color="1AB8E0"/>
              <w:bottom w:val="dashed" w:sz="6" w:space="0" w:color="1AB8E0"/>
              <w:right w:val="dashed" w:sz="6" w:space="0" w:color="1AB8E0"/>
            </w:tcBorders>
            <w:shd w:val="clear" w:color="auto" w:fill="F2F5F7"/>
            <w:tcMar>
              <w:top w:w="240" w:type="dxa"/>
              <w:left w:w="240" w:type="dxa"/>
              <w:bottom w:w="240" w:type="dxa"/>
              <w:right w:w="240" w:type="dxa"/>
            </w:tcMar>
            <w:vAlign w:val="center"/>
          </w:tcPr>
          <w:p w14:paraId="19CA5E43" w14:textId="22AC2CF8" w:rsidR="000B6287" w:rsidRDefault="00414DE4">
            <w:pPr>
              <w:jc w:val="center"/>
            </w:pPr>
            <w:r>
              <w:rPr>
                <w:i/>
                <w:iCs/>
                <w:noProof/>
                <w:color w:val="1F4D6B"/>
                <w:sz w:val="20"/>
                <w:szCs w:val="20"/>
              </w:rPr>
              <w:drawing>
                <wp:inline distT="0" distB="0" distL="0" distR="0" wp14:anchorId="4E59E72E" wp14:editId="24D0D7B8">
                  <wp:extent cx="5852160" cy="4663283"/>
                  <wp:effectExtent l="0" t="0" r="0" b="4445"/>
                  <wp:docPr id="858678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78965" name="Picture 858678965"/>
                          <pic:cNvPicPr/>
                        </pic:nvPicPr>
                        <pic:blipFill>
                          <a:blip r:embed="rId12">
                            <a:extLst>
                              <a:ext uri="{28A0092B-C50C-407E-A947-70E740481C1C}">
                                <a14:useLocalDpi xmlns:a14="http://schemas.microsoft.com/office/drawing/2010/main" val="0"/>
                              </a:ext>
                            </a:extLst>
                          </a:blip>
                          <a:stretch>
                            <a:fillRect/>
                          </a:stretch>
                        </pic:blipFill>
                        <pic:spPr>
                          <a:xfrm>
                            <a:off x="0" y="0"/>
                            <a:ext cx="5868304" cy="4676147"/>
                          </a:xfrm>
                          <a:prstGeom prst="rect">
                            <a:avLst/>
                          </a:prstGeom>
                        </pic:spPr>
                      </pic:pic>
                    </a:graphicData>
                  </a:graphic>
                </wp:inline>
              </w:drawing>
            </w:r>
            <w:r w:rsidR="00000000">
              <w:rPr>
                <w:i/>
                <w:iCs/>
                <w:color w:val="1F4D6B"/>
                <w:sz w:val="20"/>
                <w:szCs w:val="20"/>
              </w:rPr>
              <w:t xml:space="preserve">Field photo of borehole rehabilitation in </w:t>
            </w:r>
            <w:proofErr w:type="spellStart"/>
            <w:r w:rsidR="00000000">
              <w:rPr>
                <w:i/>
                <w:iCs/>
                <w:color w:val="1F4D6B"/>
                <w:sz w:val="20"/>
                <w:szCs w:val="20"/>
              </w:rPr>
              <w:t>Buraan</w:t>
            </w:r>
            <w:proofErr w:type="spellEnd"/>
            <w:r w:rsidR="007401A9">
              <w:rPr>
                <w:i/>
                <w:iCs/>
                <w:color w:val="1F4D6B"/>
                <w:sz w:val="20"/>
                <w:szCs w:val="20"/>
              </w:rPr>
              <w:t xml:space="preserve">. </w:t>
            </w:r>
            <w:r w:rsidR="007401A9" w:rsidRPr="007401A9">
              <w:rPr>
                <w:i/>
                <w:iCs/>
                <w:color w:val="1F4D6B"/>
                <w:sz w:val="20"/>
                <w:szCs w:val="20"/>
              </w:rPr>
              <w:t>Photo Courtesy of TASS</w:t>
            </w:r>
          </w:p>
        </w:tc>
      </w:tr>
    </w:tbl>
    <w:p w14:paraId="19CA5E45" w14:textId="77777777" w:rsidR="000B6287" w:rsidRDefault="000B6287">
      <w:pPr>
        <w:spacing w:before="80" w:after="80"/>
      </w:pPr>
    </w:p>
    <w:p w14:paraId="19CA5E46" w14:textId="3FA48D25" w:rsidR="000B6287" w:rsidRDefault="00000000">
      <w:pPr>
        <w:spacing w:before="80" w:after="120" w:line="320" w:lineRule="auto"/>
        <w:jc w:val="both"/>
      </w:pPr>
      <w:r>
        <w:t xml:space="preserve">TASS developed a new </w:t>
      </w:r>
      <w:r w:rsidR="00456810">
        <w:t>10</w:t>
      </w:r>
      <w:r>
        <w:t xml:space="preserve">-metre shallow well in </w:t>
      </w:r>
      <w:proofErr w:type="spellStart"/>
      <w:r>
        <w:t>Durduri</w:t>
      </w:r>
      <w:proofErr w:type="spellEnd"/>
      <w:r>
        <w:t xml:space="preserve">, rehabilitated a borehole in </w:t>
      </w:r>
      <w:proofErr w:type="spellStart"/>
      <w:r>
        <w:t>Ulxeed</w:t>
      </w:r>
      <w:proofErr w:type="spellEnd"/>
      <w:r>
        <w:t xml:space="preserve"> that had been dormant for three years, and refurbished the </w:t>
      </w:r>
      <w:proofErr w:type="spellStart"/>
      <w:r>
        <w:t>Buraan</w:t>
      </w:r>
      <w:proofErr w:type="spellEnd"/>
      <w:r>
        <w:t xml:space="preserve"> borehole with a new 7.5 kW submersible pump. </w:t>
      </w:r>
      <w:r w:rsidR="00456810">
        <w:t xml:space="preserve">A </w:t>
      </w:r>
      <w:r>
        <w:t xml:space="preserve">40 cubic metre elevated storage tank </w:t>
      </w:r>
      <w:r w:rsidR="00456810">
        <w:t>i</w:t>
      </w:r>
      <w:r w:rsidR="00456810">
        <w:t xml:space="preserve">n Ceelaayo </w:t>
      </w:r>
      <w:r>
        <w:t xml:space="preserve">was structurally repaired, fitted with new control valves, and repainted. TASS </w:t>
      </w:r>
      <w:r w:rsidR="008A10D2">
        <w:t xml:space="preserve">also </w:t>
      </w:r>
      <w:r>
        <w:t xml:space="preserve">replaced 4,500 metres of deteriorated </w:t>
      </w:r>
      <w:r w:rsidR="008A10D2">
        <w:t>water</w:t>
      </w:r>
      <w:r>
        <w:t xml:space="preserve"> pipeline</w:t>
      </w:r>
      <w:r w:rsidR="008A10D2">
        <w:t xml:space="preserve"> in </w:t>
      </w:r>
      <w:r w:rsidR="008A10D2">
        <w:t xml:space="preserve">Ceelaayo and </w:t>
      </w:r>
      <w:proofErr w:type="spellStart"/>
      <w:r w:rsidR="008A10D2">
        <w:t>Buraan</w:t>
      </w:r>
      <w:proofErr w:type="spellEnd"/>
      <w:r w:rsidR="008A10D2">
        <w:t xml:space="preserve">. </w:t>
      </w:r>
      <w:r>
        <w:t xml:space="preserve">3,000 metres </w:t>
      </w:r>
      <w:r w:rsidR="008A10D2">
        <w:t xml:space="preserve">of pipeline </w:t>
      </w:r>
      <w:r w:rsidR="00704594">
        <w:t xml:space="preserve">was replaced </w:t>
      </w:r>
      <w:r>
        <w:t xml:space="preserve">in Ceelaayo and 1,500 metres in </w:t>
      </w:r>
      <w:proofErr w:type="spellStart"/>
      <w:r>
        <w:t>Buraan</w:t>
      </w:r>
      <w:proofErr w:type="spellEnd"/>
      <w:r>
        <w:t xml:space="preserve">, eliminating the systemic leakage that had quietly drained the network for years. </w:t>
      </w:r>
    </w:p>
    <w:p w14:paraId="19CA5E47" w14:textId="77777777" w:rsidR="000B6287" w:rsidRDefault="00000000">
      <w:pPr>
        <w:spacing w:before="280" w:after="160"/>
      </w:pPr>
      <w:r>
        <w:rPr>
          <w:rFonts w:ascii="Montserrat" w:eastAsia="Montserrat" w:hAnsi="Montserrat" w:cs="Montserrat"/>
          <w:b/>
          <w:bCs/>
          <w:color w:val="1AB8E0"/>
          <w:sz w:val="26"/>
          <w:szCs w:val="26"/>
        </w:rPr>
        <w:t>Answering immediate thirst</w:t>
      </w:r>
    </w:p>
    <w:p w14:paraId="19CA5E48" w14:textId="13C87888" w:rsidR="000B6287" w:rsidRDefault="00000000">
      <w:pPr>
        <w:spacing w:before="80" w:after="120" w:line="320" w:lineRule="auto"/>
        <w:jc w:val="both"/>
      </w:pPr>
      <w:r>
        <w:t xml:space="preserve">TASS delivered 4,800,000 litres of safe drinking water by truck over ninety days to 3,555 people in six locations, </w:t>
      </w:r>
      <w:proofErr w:type="spellStart"/>
      <w:r>
        <w:t>Habarshiro</w:t>
      </w:r>
      <w:proofErr w:type="spellEnd"/>
      <w:r>
        <w:t xml:space="preserve">, </w:t>
      </w:r>
      <w:proofErr w:type="spellStart"/>
      <w:r>
        <w:t>Balibusle</w:t>
      </w:r>
      <w:proofErr w:type="spellEnd"/>
      <w:r>
        <w:t xml:space="preserve">, </w:t>
      </w:r>
      <w:proofErr w:type="spellStart"/>
      <w:r>
        <w:t>Sibaayo</w:t>
      </w:r>
      <w:proofErr w:type="spellEnd"/>
      <w:r>
        <w:t xml:space="preserve">, </w:t>
      </w:r>
      <w:proofErr w:type="spellStart"/>
      <w:r>
        <w:t>Kaladhacda</w:t>
      </w:r>
      <w:proofErr w:type="spellEnd"/>
      <w:r>
        <w:t xml:space="preserve">, </w:t>
      </w:r>
      <w:proofErr w:type="spellStart"/>
      <w:r>
        <w:t>Caadsaaran</w:t>
      </w:r>
      <w:proofErr w:type="spellEnd"/>
      <w:r>
        <w:t xml:space="preserve">, and the </w:t>
      </w:r>
      <w:proofErr w:type="spellStart"/>
      <w:r>
        <w:t>Dhanaha</w:t>
      </w:r>
      <w:proofErr w:type="spellEnd"/>
      <w:r>
        <w:t xml:space="preserve"> IDP camp</w:t>
      </w:r>
      <w:r w:rsidR="00456810" w:rsidRPr="00456810">
        <w:t xml:space="preserve"> </w:t>
      </w:r>
      <w:r w:rsidR="00456810">
        <w:t>w</w:t>
      </w:r>
      <w:r w:rsidR="00456810">
        <w:t>hile construction crews worked</w:t>
      </w:r>
      <w:r w:rsidR="00456810">
        <w:t xml:space="preserve"> to restore permanent water sources</w:t>
      </w:r>
      <w:r>
        <w:t xml:space="preserve">. The volume met the SPHERE minimum of fifteen litres per person per day. Trucking ran from 15 December 2025 </w:t>
      </w:r>
      <w:r>
        <w:lastRenderedPageBreak/>
        <w:t>to 15 March 2026 under daylight-only schedules to reduce protection risks for women and girls collecting water.</w:t>
      </w:r>
    </w:p>
    <w:p w14:paraId="19CA5E49" w14:textId="77777777" w:rsidR="000B6287" w:rsidRDefault="00000000">
      <w:pPr>
        <w:spacing w:before="280" w:after="160"/>
      </w:pPr>
      <w:r>
        <w:rPr>
          <w:rFonts w:ascii="Montserrat" w:eastAsia="Montserrat" w:hAnsi="Montserrat" w:cs="Montserrat"/>
          <w:b/>
          <w:bCs/>
          <w:color w:val="1AB8E0"/>
          <w:sz w:val="26"/>
          <w:szCs w:val="26"/>
        </w:rPr>
        <w:t>Making the water safe at home</w:t>
      </w:r>
    </w:p>
    <w:p w14:paraId="19CA5E4A" w14:textId="0547AC18" w:rsidR="000B6287" w:rsidRDefault="00000000">
      <w:pPr>
        <w:spacing w:before="80" w:after="120" w:line="320" w:lineRule="auto"/>
        <w:jc w:val="both"/>
      </w:pPr>
      <w:r>
        <w:t xml:space="preserve">TASS distributed 16,000 Aqua Tabs to 4,000 households across all ten target villages and ran hygiene promotion sessions in local Somali dialects. By the end of the </w:t>
      </w:r>
      <w:r w:rsidR="001B773B">
        <w:t xml:space="preserve">distribution </w:t>
      </w:r>
      <w:r w:rsidR="00456810">
        <w:t>exercise</w:t>
      </w:r>
      <w:r>
        <w:t>, 85 percent of participants showed improved knowledge of safe storage and treatment, exceeding the project target of 80 percent.</w:t>
      </w:r>
    </w:p>
    <w:p w14:paraId="19CA5E4B" w14:textId="77777777" w:rsidR="000B6287" w:rsidRDefault="00000000">
      <w:pPr>
        <w:spacing w:before="320" w:after="160"/>
      </w:pPr>
      <w:r>
        <w:rPr>
          <w:noProof/>
        </w:rPr>
        <w:drawing>
          <wp:inline distT="0" distB="0" distL="0" distR="0" wp14:anchorId="19CA5E61" wp14:editId="19CA5E62">
            <wp:extent cx="285750" cy="285750"/>
            <wp:effectExtent l="0" t="0" r="0" b="0"/>
            <wp:docPr id="1832460380" name="How — dignity, accountability, sustainability" descr="How — dignity, accountability, sustainability" title="How — dignity, accountability, 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85750" cy="285750"/>
                    </a:xfrm>
                    <a:prstGeom prst="rect">
                      <a:avLst/>
                    </a:prstGeom>
                  </pic:spPr>
                </pic:pic>
              </a:graphicData>
            </a:graphic>
          </wp:inline>
        </w:drawing>
      </w:r>
      <w:r>
        <w:rPr>
          <w:rFonts w:ascii="Montserrat" w:eastAsia="Montserrat" w:hAnsi="Montserrat" w:cs="Montserrat"/>
          <w:b/>
          <w:bCs/>
          <w:color w:val="1AB8E0"/>
          <w:sz w:val="28"/>
          <w:szCs w:val="28"/>
        </w:rPr>
        <w:t xml:space="preserve">   How — dignity, accountability, sustainability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30"/>
      </w:tblGrid>
      <w:tr w:rsidR="000B6287" w14:paraId="19CA5E4D" w14:textId="77777777">
        <w:tblPrEx>
          <w:tblCellMar>
            <w:top w:w="0" w:type="dxa"/>
            <w:bottom w:w="0" w:type="dxa"/>
          </w:tblCellMar>
        </w:tblPrEx>
        <w:tc>
          <w:tcPr>
            <w:tcW w:w="9360" w:type="dxa"/>
            <w:tcBorders>
              <w:top w:val="dashed" w:sz="6" w:space="0" w:color="1AB8E0"/>
              <w:left w:val="dashed" w:sz="6" w:space="0" w:color="1AB8E0"/>
              <w:bottom w:val="dashed" w:sz="6" w:space="0" w:color="1AB8E0"/>
              <w:right w:val="dashed" w:sz="6" w:space="0" w:color="1AB8E0"/>
            </w:tcBorders>
            <w:shd w:val="clear" w:color="auto" w:fill="F2F5F7"/>
            <w:tcMar>
              <w:top w:w="240" w:type="dxa"/>
              <w:left w:w="240" w:type="dxa"/>
              <w:bottom w:w="240" w:type="dxa"/>
              <w:right w:w="240" w:type="dxa"/>
            </w:tcMar>
            <w:vAlign w:val="center"/>
          </w:tcPr>
          <w:p w14:paraId="19CA5E4C" w14:textId="74632EA9" w:rsidR="000B6287" w:rsidRDefault="00A85207">
            <w:pPr>
              <w:jc w:val="center"/>
            </w:pPr>
            <w:r>
              <w:rPr>
                <w:i/>
                <w:iCs/>
                <w:noProof/>
                <w:color w:val="1F4D6B"/>
                <w:sz w:val="20"/>
                <w:szCs w:val="20"/>
              </w:rPr>
              <w:drawing>
                <wp:inline distT="0" distB="0" distL="0" distR="0" wp14:anchorId="48DDC5C9" wp14:editId="502E5D08">
                  <wp:extent cx="5948642" cy="4698609"/>
                  <wp:effectExtent l="0" t="0" r="0" b="6985"/>
                  <wp:docPr id="192632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7303" name="Picture 1926327303"/>
                          <pic:cNvPicPr/>
                        </pic:nvPicPr>
                        <pic:blipFill>
                          <a:blip r:embed="rId14">
                            <a:extLst>
                              <a:ext uri="{28A0092B-C50C-407E-A947-70E740481C1C}">
                                <a14:useLocalDpi xmlns:a14="http://schemas.microsoft.com/office/drawing/2010/main" val="0"/>
                              </a:ext>
                            </a:extLst>
                          </a:blip>
                          <a:stretch>
                            <a:fillRect/>
                          </a:stretch>
                        </pic:blipFill>
                        <pic:spPr>
                          <a:xfrm>
                            <a:off x="0" y="0"/>
                            <a:ext cx="5953721" cy="4702620"/>
                          </a:xfrm>
                          <a:prstGeom prst="rect">
                            <a:avLst/>
                          </a:prstGeom>
                        </pic:spPr>
                      </pic:pic>
                    </a:graphicData>
                  </a:graphic>
                </wp:inline>
              </w:drawing>
            </w:r>
            <w:r w:rsidR="00B35F6F">
              <w:rPr>
                <w:i/>
                <w:iCs/>
                <w:color w:val="1F4D6B"/>
                <w:sz w:val="20"/>
                <w:szCs w:val="20"/>
              </w:rPr>
              <w:t xml:space="preserve">Residents of </w:t>
            </w:r>
            <w:proofErr w:type="spellStart"/>
            <w:r w:rsidR="004A7750">
              <w:rPr>
                <w:i/>
                <w:iCs/>
                <w:color w:val="1F4D6B"/>
                <w:sz w:val="20"/>
                <w:szCs w:val="20"/>
              </w:rPr>
              <w:t>Dhanaha</w:t>
            </w:r>
            <w:proofErr w:type="spellEnd"/>
            <w:r w:rsidR="004A7750">
              <w:rPr>
                <w:i/>
                <w:iCs/>
                <w:color w:val="1F4D6B"/>
                <w:sz w:val="20"/>
                <w:szCs w:val="20"/>
              </w:rPr>
              <w:t xml:space="preserve"> IDP camp queue to collect</w:t>
            </w:r>
            <w:r w:rsidR="00897766">
              <w:rPr>
                <w:i/>
                <w:iCs/>
                <w:color w:val="1F4D6B"/>
                <w:sz w:val="20"/>
                <w:szCs w:val="20"/>
              </w:rPr>
              <w:t xml:space="preserve"> </w:t>
            </w:r>
            <w:r w:rsidR="00501BDC">
              <w:rPr>
                <w:i/>
                <w:iCs/>
                <w:color w:val="1F4D6B"/>
                <w:sz w:val="20"/>
                <w:szCs w:val="20"/>
              </w:rPr>
              <w:t xml:space="preserve">emergency </w:t>
            </w:r>
            <w:r w:rsidR="00897766">
              <w:rPr>
                <w:i/>
                <w:iCs/>
                <w:color w:val="1F4D6B"/>
                <w:sz w:val="20"/>
                <w:szCs w:val="20"/>
              </w:rPr>
              <w:t xml:space="preserve">potable </w:t>
            </w:r>
            <w:r w:rsidR="004A7750">
              <w:rPr>
                <w:i/>
                <w:iCs/>
                <w:color w:val="1F4D6B"/>
                <w:sz w:val="20"/>
                <w:szCs w:val="20"/>
              </w:rPr>
              <w:t xml:space="preserve">water from a </w:t>
            </w:r>
            <w:r w:rsidR="00897766">
              <w:rPr>
                <w:i/>
                <w:iCs/>
                <w:color w:val="1F4D6B"/>
                <w:sz w:val="20"/>
                <w:szCs w:val="20"/>
              </w:rPr>
              <w:t>truck</w:t>
            </w:r>
            <w:r w:rsidR="00501BDC">
              <w:rPr>
                <w:i/>
                <w:iCs/>
                <w:color w:val="1F4D6B"/>
                <w:sz w:val="20"/>
                <w:szCs w:val="20"/>
              </w:rPr>
              <w:t xml:space="preserve">. </w:t>
            </w:r>
            <w:r w:rsidR="00501BDC" w:rsidRPr="00501BDC">
              <w:rPr>
                <w:i/>
                <w:iCs/>
                <w:color w:val="1F4D6B"/>
                <w:sz w:val="20"/>
                <w:szCs w:val="20"/>
              </w:rPr>
              <w:t>Photo Courtesy of TASS</w:t>
            </w:r>
          </w:p>
        </w:tc>
      </w:tr>
    </w:tbl>
    <w:p w14:paraId="19CA5E4E" w14:textId="77777777" w:rsidR="000B6287" w:rsidRDefault="000B6287">
      <w:pPr>
        <w:spacing w:before="80" w:after="80"/>
      </w:pPr>
    </w:p>
    <w:p w14:paraId="19CA5E4F" w14:textId="494511BA" w:rsidR="000B6287" w:rsidRDefault="00000000">
      <w:pPr>
        <w:spacing w:before="80" w:after="120" w:line="320" w:lineRule="auto"/>
        <w:jc w:val="both"/>
      </w:pPr>
      <w:r>
        <w:t>Every water point built or rebuilt under this project carries the same set of features</w:t>
      </w:r>
      <w:r w:rsidR="0001434B">
        <w:t xml:space="preserve"> which include</w:t>
      </w:r>
      <w:r>
        <w:t xml:space="preserve"> non-slip apron</w:t>
      </w:r>
      <w:r w:rsidR="00A03AA9">
        <w:t xml:space="preserve">s </w:t>
      </w:r>
      <w:r>
        <w:t>and low-level tap stand</w:t>
      </w:r>
      <w:r w:rsidR="00A03AA9">
        <w:t>s</w:t>
      </w:r>
      <w:r>
        <w:t xml:space="preserve">. In </w:t>
      </w:r>
      <w:proofErr w:type="spellStart"/>
      <w:r>
        <w:t>Durduri</w:t>
      </w:r>
      <w:proofErr w:type="spellEnd"/>
      <w:r>
        <w:t xml:space="preserve"> and </w:t>
      </w:r>
      <w:proofErr w:type="spellStart"/>
      <w:r>
        <w:t>Ulxeed</w:t>
      </w:r>
      <w:proofErr w:type="spellEnd"/>
      <w:r>
        <w:t xml:space="preserve"> a livestock trough sits alongside the human kiosk. These details mean a woman in a wheelchair, an elderly man with a cane, and </w:t>
      </w:r>
      <w:r>
        <w:lastRenderedPageBreak/>
        <w:t>a herding boy with a goat can all draw water at the same point without risk. SPHERE benchmarks now hold across all rehabilitated sites, with fifteen litres per person per day, collection points within 500 metres of the dwelling, and round-trip collection times under thirty minutes.</w:t>
      </w:r>
    </w:p>
    <w:p w14:paraId="19CA5E50" w14:textId="1E79C04D" w:rsidR="000B6287" w:rsidRDefault="00000000">
      <w:pPr>
        <w:spacing w:before="80" w:after="120" w:line="320" w:lineRule="auto"/>
        <w:jc w:val="both"/>
      </w:pPr>
      <w:r>
        <w:t>TASS trained 1</w:t>
      </w:r>
      <w:r w:rsidR="00325AE5">
        <w:t>2</w:t>
      </w:r>
      <w:r>
        <w:t>0 WASH committee members, 53 women and 57 men, in pump operation, solar maintenance, chlorination, and financial oversight</w:t>
      </w:r>
      <w:r w:rsidR="00325AE5">
        <w:t xml:space="preserve"> to enhance sustainability of the </w:t>
      </w:r>
      <w:r w:rsidR="001A146D">
        <w:t>project</w:t>
      </w:r>
      <w:r>
        <w:t>. Half the seats are mandated for women, and representation</w:t>
      </w:r>
      <w:r w:rsidR="00E94959">
        <w:t xml:space="preserve"> of people living with disability</w:t>
      </w:r>
      <w:r>
        <w:t xml:space="preserve"> is built into selection. A twelve-month maintenance fund will transfer to community management at handover, with continuing technical oversight from the Puntland Water Development Agency (PWDA).</w:t>
      </w:r>
    </w:p>
    <w:p w14:paraId="19CA5E51" w14:textId="098DBC3D" w:rsidR="000B6287" w:rsidRDefault="00000000">
      <w:pPr>
        <w:spacing w:before="80" w:after="120" w:line="320" w:lineRule="auto"/>
        <w:jc w:val="both"/>
      </w:pPr>
      <w:r>
        <w:t xml:space="preserve">Accountability runs through the model. Awareness sessions on Prevention of Sexual Exploitation and Abuse (PSEA), gender-based violence risk mitigation, and the Complaints and Feedback Mechanism reached </w:t>
      </w:r>
      <w:r w:rsidR="00181EA4">
        <w:t>200</w:t>
      </w:r>
      <w:r>
        <w:t xml:space="preserve"> community members in </w:t>
      </w:r>
      <w:r w:rsidR="00181EA4">
        <w:t>two</w:t>
      </w:r>
      <w:r>
        <w:t xml:space="preserve"> cycle</w:t>
      </w:r>
      <w:r w:rsidR="00071160">
        <w:t>s</w:t>
      </w:r>
      <w:r>
        <w:t xml:space="preserve">, with a </w:t>
      </w:r>
      <w:r w:rsidR="00071160">
        <w:t>third</w:t>
      </w:r>
      <w:r>
        <w:t xml:space="preserve"> cycle following in </w:t>
      </w:r>
      <w:r w:rsidR="00071160">
        <w:t>June</w:t>
      </w:r>
      <w:r>
        <w:t xml:space="preserve"> 2026. Female mobilisers led sensitive conversations, and visual aids and role plays carried the messages where written materials could not. Beneficiaries can report concerns through the toll-free hotline 325, by email at feedback@tadamun.org, or in person at the AAP help desk on each site.</w:t>
      </w:r>
    </w:p>
    <w:p w14:paraId="19CA5E52" w14:textId="77777777" w:rsidR="000B6287" w:rsidRDefault="00000000">
      <w:pPr>
        <w:spacing w:before="320" w:after="160"/>
      </w:pPr>
      <w:r>
        <w:rPr>
          <w:noProof/>
        </w:rPr>
        <w:drawing>
          <wp:inline distT="0" distB="0" distL="0" distR="0" wp14:anchorId="19CA5E63" wp14:editId="19CA5E64">
            <wp:extent cx="285750" cy="285750"/>
            <wp:effectExtent l="0" t="0" r="0" b="0"/>
            <wp:docPr id="1782272325" name="What happens next" descr="What happens next" title="What happens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85750" cy="285750"/>
                    </a:xfrm>
                    <a:prstGeom prst="rect">
                      <a:avLst/>
                    </a:prstGeom>
                  </pic:spPr>
                </pic:pic>
              </a:graphicData>
            </a:graphic>
          </wp:inline>
        </w:drawing>
      </w:r>
      <w:r>
        <w:rPr>
          <w:rFonts w:ascii="Montserrat" w:eastAsia="Montserrat" w:hAnsi="Montserrat" w:cs="Montserrat"/>
          <w:b/>
          <w:bCs/>
          <w:color w:val="1AB8E0"/>
          <w:sz w:val="28"/>
          <w:szCs w:val="28"/>
        </w:rPr>
        <w:t xml:space="preserve">   What happens next</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32"/>
      </w:tblGrid>
      <w:tr w:rsidR="000B6287" w14:paraId="19CA5E54" w14:textId="77777777" w:rsidTr="007D5F05">
        <w:tblPrEx>
          <w:tblCellMar>
            <w:top w:w="0" w:type="dxa"/>
            <w:bottom w:w="0" w:type="dxa"/>
          </w:tblCellMar>
        </w:tblPrEx>
        <w:trPr>
          <w:trHeight w:val="5271"/>
        </w:trPr>
        <w:tc>
          <w:tcPr>
            <w:tcW w:w="9732" w:type="dxa"/>
            <w:tcBorders>
              <w:top w:val="dashed" w:sz="6" w:space="0" w:color="1AB8E0"/>
              <w:left w:val="dashed" w:sz="6" w:space="0" w:color="1AB8E0"/>
              <w:bottom w:val="dashed" w:sz="6" w:space="0" w:color="1AB8E0"/>
              <w:right w:val="dashed" w:sz="6" w:space="0" w:color="1AB8E0"/>
            </w:tcBorders>
            <w:shd w:val="clear" w:color="auto" w:fill="F2F5F7"/>
            <w:tcMar>
              <w:top w:w="240" w:type="dxa"/>
              <w:left w:w="240" w:type="dxa"/>
              <w:bottom w:w="240" w:type="dxa"/>
              <w:right w:w="240" w:type="dxa"/>
            </w:tcMar>
            <w:vAlign w:val="center"/>
          </w:tcPr>
          <w:p w14:paraId="32AB5410" w14:textId="77777777" w:rsidR="007748AE" w:rsidRDefault="009D5576">
            <w:pPr>
              <w:jc w:val="center"/>
              <w:rPr>
                <w:i/>
                <w:iCs/>
                <w:color w:val="1F4D6B"/>
                <w:sz w:val="20"/>
                <w:szCs w:val="20"/>
              </w:rPr>
            </w:pPr>
            <w:r>
              <w:rPr>
                <w:i/>
                <w:iCs/>
                <w:noProof/>
                <w:color w:val="1F4D6B"/>
                <w:sz w:val="20"/>
                <w:szCs w:val="20"/>
              </w:rPr>
              <w:drawing>
                <wp:inline distT="0" distB="0" distL="0" distR="0" wp14:anchorId="51622EC6" wp14:editId="34CFBA6A">
                  <wp:extent cx="5169483" cy="3193367"/>
                  <wp:effectExtent l="0" t="0" r="0" b="7620"/>
                  <wp:docPr id="1342968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68092" name="Picture 134296809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09376" cy="3218011"/>
                          </a:xfrm>
                          <a:prstGeom prst="rect">
                            <a:avLst/>
                          </a:prstGeom>
                        </pic:spPr>
                      </pic:pic>
                    </a:graphicData>
                  </a:graphic>
                </wp:inline>
              </w:drawing>
            </w:r>
          </w:p>
          <w:p w14:paraId="19CA5E53" w14:textId="6D4CB43C" w:rsidR="000B6287" w:rsidRDefault="00000000">
            <w:pPr>
              <w:jc w:val="center"/>
            </w:pPr>
            <w:r>
              <w:rPr>
                <w:i/>
                <w:iCs/>
                <w:color w:val="1F4D6B"/>
                <w:sz w:val="20"/>
                <w:szCs w:val="20"/>
              </w:rPr>
              <w:t xml:space="preserve">WASH committee </w:t>
            </w:r>
            <w:r w:rsidR="00C5377C">
              <w:rPr>
                <w:i/>
                <w:iCs/>
                <w:color w:val="1F4D6B"/>
                <w:sz w:val="20"/>
                <w:szCs w:val="20"/>
              </w:rPr>
              <w:t xml:space="preserve">members in </w:t>
            </w:r>
            <w:proofErr w:type="spellStart"/>
            <w:r w:rsidR="00C5377C">
              <w:rPr>
                <w:i/>
                <w:iCs/>
                <w:color w:val="1F4D6B"/>
                <w:sz w:val="20"/>
                <w:szCs w:val="20"/>
              </w:rPr>
              <w:t>Balibusle</w:t>
            </w:r>
            <w:proofErr w:type="spellEnd"/>
            <w:r w:rsidR="00C5377C">
              <w:rPr>
                <w:i/>
                <w:iCs/>
                <w:color w:val="1F4D6B"/>
                <w:sz w:val="20"/>
                <w:szCs w:val="20"/>
              </w:rPr>
              <w:t xml:space="preserve"> Village participate in</w:t>
            </w:r>
            <w:r w:rsidR="007D5F05">
              <w:rPr>
                <w:i/>
                <w:iCs/>
                <w:color w:val="1F4D6B"/>
                <w:sz w:val="20"/>
                <w:szCs w:val="20"/>
              </w:rPr>
              <w:t xml:space="preserve"> a capacity building training. </w:t>
            </w:r>
            <w:r w:rsidR="007D5F05" w:rsidRPr="007D5F05">
              <w:rPr>
                <w:i/>
                <w:iCs/>
                <w:color w:val="1F4D6B"/>
                <w:sz w:val="20"/>
                <w:szCs w:val="20"/>
              </w:rPr>
              <w:t>Photo Courtesy of TASS</w:t>
            </w:r>
          </w:p>
        </w:tc>
      </w:tr>
    </w:tbl>
    <w:p w14:paraId="19CA5E55" w14:textId="77777777" w:rsidR="000B6287" w:rsidRDefault="000B6287">
      <w:pPr>
        <w:spacing w:before="80" w:after="80"/>
      </w:pPr>
    </w:p>
    <w:p w14:paraId="19CA5E56" w14:textId="0F4025A6" w:rsidR="000B6287" w:rsidRDefault="00000000">
      <w:pPr>
        <w:spacing w:before="80" w:after="120" w:line="320" w:lineRule="auto"/>
        <w:jc w:val="both"/>
      </w:pPr>
      <w:r>
        <w:lastRenderedPageBreak/>
        <w:t xml:space="preserve">By 30 June 2026, when the project closes, water will be flowing through 4,500 metres of new pipeline in </w:t>
      </w:r>
      <w:proofErr w:type="spellStart"/>
      <w:r>
        <w:t>Buraan</w:t>
      </w:r>
      <w:proofErr w:type="spellEnd"/>
      <w:r>
        <w:t>,</w:t>
      </w:r>
      <w:r w:rsidR="008E0B4C">
        <w:t xml:space="preserve"> </w:t>
      </w:r>
      <w:r w:rsidR="002A2F83">
        <w:t xml:space="preserve">Ceelaayo, </w:t>
      </w:r>
      <w:proofErr w:type="spellStart"/>
      <w:r w:rsidR="002A2F83">
        <w:t>Durduri</w:t>
      </w:r>
      <w:proofErr w:type="spellEnd"/>
      <w:r w:rsidR="002A2F83">
        <w:t xml:space="preserve"> and </w:t>
      </w:r>
      <w:proofErr w:type="spellStart"/>
      <w:r w:rsidR="008E0B4C">
        <w:t>Ulxeed</w:t>
      </w:r>
      <w:proofErr w:type="spellEnd"/>
      <w:r w:rsidR="008E0B4C">
        <w:t xml:space="preserve"> </w:t>
      </w:r>
      <w:r>
        <w:t>drawn from rehabilitated borehole</w:t>
      </w:r>
      <w:r w:rsidR="008E0B4C">
        <w:t>s</w:t>
      </w:r>
      <w:r w:rsidR="002A2F83">
        <w:t xml:space="preserve"> and </w:t>
      </w:r>
      <w:r>
        <w:t xml:space="preserve">new shallow well in </w:t>
      </w:r>
      <w:proofErr w:type="spellStart"/>
      <w:r>
        <w:t>Durduri</w:t>
      </w:r>
      <w:proofErr w:type="spellEnd"/>
      <w:r>
        <w:t xml:space="preserve">. The next milestone is the formal handover </w:t>
      </w:r>
      <w:r w:rsidR="00583355">
        <w:t xml:space="preserve">of </w:t>
      </w:r>
      <w:r w:rsidR="00BB02B0">
        <w:t xml:space="preserve">water infrastructure </w:t>
      </w:r>
      <w:r>
        <w:t>to the trained WASH committees. Each community will hold the toolkit, the maintenance fund, and the technical knowledge to keep the system running after TASS steps back.</w:t>
      </w:r>
    </w:p>
    <w:p w14:paraId="19CA5E57" w14:textId="77777777" w:rsidR="000B6287" w:rsidRDefault="00000000">
      <w:pPr>
        <w:pBdr>
          <w:top w:val="single" w:sz="8" w:space="8" w:color="7DC9C0"/>
        </w:pBdr>
        <w:spacing w:before="360" w:after="60"/>
      </w:pPr>
      <w:r>
        <w:rPr>
          <w:rFonts w:ascii="Montserrat" w:eastAsia="Montserrat" w:hAnsi="Montserrat" w:cs="Montserrat"/>
          <w:b/>
          <w:bCs/>
          <w:color w:val="1AB8E0"/>
          <w:spacing w:val="30"/>
          <w:sz w:val="18"/>
          <w:szCs w:val="18"/>
        </w:rPr>
        <w:t>FUNDING</w:t>
      </w:r>
    </w:p>
    <w:p w14:paraId="19CA5E58" w14:textId="77777777" w:rsidR="000B6287" w:rsidRDefault="00000000">
      <w:pPr>
        <w:spacing w:before="40" w:after="200"/>
      </w:pPr>
      <w:r>
        <w:rPr>
          <w:i/>
          <w:iCs/>
          <w:sz w:val="18"/>
          <w:szCs w:val="18"/>
        </w:rPr>
        <w:t>Project CBPF-SOM-25-R-NGO-38186 is funded by the Somalia Humanitarian Fund (SHF), a Country-Based Pooled Fund managed by OCHA. Implementation period: 1 December 2025 to 30 June 2026.</w:t>
      </w:r>
    </w:p>
    <w:sectPr w:rsidR="000B6287">
      <w:footerReference w:type="default" r:id="rId17"/>
      <w:pgSz w:w="11906" w:h="16838"/>
      <w:pgMar w:top="108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9BC8" w14:textId="77777777" w:rsidR="00D30D01" w:rsidRDefault="00D30D01">
      <w:r>
        <w:separator/>
      </w:r>
    </w:p>
  </w:endnote>
  <w:endnote w:type="continuationSeparator" w:id="0">
    <w:p w14:paraId="2D4A43AB" w14:textId="77777777" w:rsidR="00D30D01" w:rsidRDefault="00D3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5E65" w14:textId="0186EA03" w:rsidR="000B6287" w:rsidRDefault="00000000">
    <w:pPr>
      <w:pBdr>
        <w:top w:val="single" w:sz="6" w:space="4" w:color="1F4D6B"/>
      </w:pBdr>
      <w:spacing w:before="200" w:after="60"/>
      <w:jc w:val="center"/>
    </w:pPr>
    <w:r>
      <w:rPr>
        <w:b/>
        <w:bCs/>
        <w:color w:val="1F4D6B"/>
        <w:sz w:val="16"/>
        <w:szCs w:val="16"/>
      </w:rPr>
      <w:t>TADAMUN SOCIAL SOCIETY (</w:t>
    </w:r>
    <w:r w:rsidR="004E0F9B">
      <w:rPr>
        <w:b/>
        <w:bCs/>
        <w:color w:val="1F4D6B"/>
        <w:sz w:val="16"/>
        <w:szCs w:val="16"/>
      </w:rPr>
      <w:t>TASS) | www.tadamun.org | Toll</w:t>
    </w:r>
    <w:r>
      <w:rPr>
        <w:color w:val="1F4D6B"/>
        <w:sz w:val="16"/>
        <w:szCs w:val="16"/>
      </w:rPr>
      <w:t xml:space="preserve">-free AAP hotline </w:t>
    </w:r>
    <w:r w:rsidR="004E0F9B">
      <w:rPr>
        <w:color w:val="1F4D6B"/>
        <w:sz w:val="16"/>
        <w:szCs w:val="16"/>
      </w:rPr>
      <w:t>325 | feedback@tadamun.org</w:t>
    </w:r>
  </w:p>
  <w:p w14:paraId="19CA5E66" w14:textId="2C5674E3" w:rsidR="000B6287" w:rsidRDefault="00000000">
    <w:pPr>
      <w:jc w:val="center"/>
    </w:pPr>
    <w:r>
      <w:rPr>
        <w:color w:val="808080"/>
        <w:sz w:val="14"/>
        <w:szCs w:val="14"/>
      </w:rPr>
      <w:t xml:space="preserve">Page </w:t>
    </w:r>
    <w:r>
      <w:rPr>
        <w:color w:val="808080"/>
        <w:sz w:val="14"/>
        <w:szCs w:val="14"/>
      </w:rPr>
      <w:fldChar w:fldCharType="begin"/>
    </w:r>
    <w:r>
      <w:rPr>
        <w:color w:val="808080"/>
        <w:sz w:val="14"/>
        <w:szCs w:val="14"/>
      </w:rPr>
      <w:instrText>PAGE</w:instrText>
    </w:r>
    <w:r>
      <w:rPr>
        <w:color w:val="808080"/>
        <w:sz w:val="14"/>
        <w:szCs w:val="14"/>
      </w:rPr>
      <w:fldChar w:fldCharType="separate"/>
    </w:r>
    <w:r w:rsidR="00D00AB0">
      <w:rPr>
        <w:noProof/>
        <w:color w:val="808080"/>
        <w:sz w:val="14"/>
        <w:szCs w:val="14"/>
      </w:rPr>
      <w:t>1</w:t>
    </w:r>
    <w:r>
      <w:rPr>
        <w:color w:val="8080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7F59" w14:textId="77777777" w:rsidR="00D30D01" w:rsidRDefault="00D30D01">
      <w:r>
        <w:separator/>
      </w:r>
    </w:p>
  </w:footnote>
  <w:footnote w:type="continuationSeparator" w:id="0">
    <w:p w14:paraId="5BAC3FAD" w14:textId="77777777" w:rsidR="00D30D01" w:rsidRDefault="00D30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A93"/>
    <w:multiLevelType w:val="hybridMultilevel"/>
    <w:tmpl w:val="A15A7114"/>
    <w:lvl w:ilvl="0" w:tplc="6EB8EAEA">
      <w:start w:val="1"/>
      <w:numFmt w:val="bullet"/>
      <w:lvlText w:val="●"/>
      <w:lvlJc w:val="left"/>
      <w:pPr>
        <w:ind w:left="720" w:hanging="360"/>
      </w:pPr>
    </w:lvl>
    <w:lvl w:ilvl="1" w:tplc="C78E14C4">
      <w:start w:val="1"/>
      <w:numFmt w:val="bullet"/>
      <w:lvlText w:val="○"/>
      <w:lvlJc w:val="left"/>
      <w:pPr>
        <w:ind w:left="1440" w:hanging="360"/>
      </w:pPr>
    </w:lvl>
    <w:lvl w:ilvl="2" w:tplc="1FB0289A">
      <w:start w:val="1"/>
      <w:numFmt w:val="bullet"/>
      <w:lvlText w:val="■"/>
      <w:lvlJc w:val="left"/>
      <w:pPr>
        <w:ind w:left="2160" w:hanging="360"/>
      </w:pPr>
    </w:lvl>
    <w:lvl w:ilvl="3" w:tplc="083AEA9C">
      <w:start w:val="1"/>
      <w:numFmt w:val="bullet"/>
      <w:lvlText w:val="●"/>
      <w:lvlJc w:val="left"/>
      <w:pPr>
        <w:ind w:left="2880" w:hanging="360"/>
      </w:pPr>
    </w:lvl>
    <w:lvl w:ilvl="4" w:tplc="FFCCF91A">
      <w:start w:val="1"/>
      <w:numFmt w:val="bullet"/>
      <w:lvlText w:val="○"/>
      <w:lvlJc w:val="left"/>
      <w:pPr>
        <w:ind w:left="3600" w:hanging="360"/>
      </w:pPr>
    </w:lvl>
    <w:lvl w:ilvl="5" w:tplc="0AF6CEF8">
      <w:start w:val="1"/>
      <w:numFmt w:val="bullet"/>
      <w:lvlText w:val="■"/>
      <w:lvlJc w:val="left"/>
      <w:pPr>
        <w:ind w:left="4320" w:hanging="360"/>
      </w:pPr>
    </w:lvl>
    <w:lvl w:ilvl="6" w:tplc="7CAEBF10">
      <w:start w:val="1"/>
      <w:numFmt w:val="bullet"/>
      <w:lvlText w:val="●"/>
      <w:lvlJc w:val="left"/>
      <w:pPr>
        <w:ind w:left="5040" w:hanging="360"/>
      </w:pPr>
    </w:lvl>
    <w:lvl w:ilvl="7" w:tplc="463256F2">
      <w:start w:val="1"/>
      <w:numFmt w:val="bullet"/>
      <w:lvlText w:val="●"/>
      <w:lvlJc w:val="left"/>
      <w:pPr>
        <w:ind w:left="5760" w:hanging="360"/>
      </w:pPr>
    </w:lvl>
    <w:lvl w:ilvl="8" w:tplc="F708886A">
      <w:start w:val="1"/>
      <w:numFmt w:val="bullet"/>
      <w:lvlText w:val="●"/>
      <w:lvlJc w:val="left"/>
      <w:pPr>
        <w:ind w:left="6480" w:hanging="360"/>
      </w:pPr>
    </w:lvl>
  </w:abstractNum>
  <w:num w:numId="1" w16cid:durableId="2833185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87"/>
    <w:rsid w:val="0001434B"/>
    <w:rsid w:val="00070012"/>
    <w:rsid w:val="00070813"/>
    <w:rsid w:val="00071160"/>
    <w:rsid w:val="000B6287"/>
    <w:rsid w:val="00156CDC"/>
    <w:rsid w:val="00181EA4"/>
    <w:rsid w:val="001A146D"/>
    <w:rsid w:val="001B773B"/>
    <w:rsid w:val="002A2F83"/>
    <w:rsid w:val="00325AE5"/>
    <w:rsid w:val="00414DE4"/>
    <w:rsid w:val="0045068B"/>
    <w:rsid w:val="00456810"/>
    <w:rsid w:val="004A7750"/>
    <w:rsid w:val="004E0F9B"/>
    <w:rsid w:val="004F2204"/>
    <w:rsid w:val="00501BDC"/>
    <w:rsid w:val="005709E6"/>
    <w:rsid w:val="00583355"/>
    <w:rsid w:val="005C449A"/>
    <w:rsid w:val="00633A52"/>
    <w:rsid w:val="00633CD0"/>
    <w:rsid w:val="006D4732"/>
    <w:rsid w:val="006F6A4D"/>
    <w:rsid w:val="00704594"/>
    <w:rsid w:val="007401A9"/>
    <w:rsid w:val="007748AE"/>
    <w:rsid w:val="007D5F05"/>
    <w:rsid w:val="00822981"/>
    <w:rsid w:val="00897766"/>
    <w:rsid w:val="008A0A27"/>
    <w:rsid w:val="008A10D2"/>
    <w:rsid w:val="008E0B4C"/>
    <w:rsid w:val="009D5576"/>
    <w:rsid w:val="00A03AA9"/>
    <w:rsid w:val="00A079E3"/>
    <w:rsid w:val="00A47A9D"/>
    <w:rsid w:val="00A85207"/>
    <w:rsid w:val="00AD60D2"/>
    <w:rsid w:val="00B35F6F"/>
    <w:rsid w:val="00B5310B"/>
    <w:rsid w:val="00B778B4"/>
    <w:rsid w:val="00BB02B0"/>
    <w:rsid w:val="00BE25CF"/>
    <w:rsid w:val="00C43601"/>
    <w:rsid w:val="00C5377C"/>
    <w:rsid w:val="00D00AB0"/>
    <w:rsid w:val="00D30D01"/>
    <w:rsid w:val="00DB7EBF"/>
    <w:rsid w:val="00DD76A1"/>
    <w:rsid w:val="00E94959"/>
    <w:rsid w:val="00EC7BC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5E1C"/>
  <w15:docId w15:val="{04B8FF23-45AF-4669-AF8E-CF722356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1D1D22"/>
        <w:sz w:val="22"/>
        <w:szCs w:val="22"/>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E0F9B"/>
    <w:pPr>
      <w:tabs>
        <w:tab w:val="center" w:pos="4513"/>
        <w:tab w:val="right" w:pos="9026"/>
      </w:tabs>
    </w:pPr>
  </w:style>
  <w:style w:type="character" w:customStyle="1" w:styleId="HeaderChar">
    <w:name w:val="Header Char"/>
    <w:basedOn w:val="DefaultParagraphFont"/>
    <w:link w:val="Header"/>
    <w:uiPriority w:val="99"/>
    <w:rsid w:val="004E0F9B"/>
  </w:style>
  <w:style w:type="paragraph" w:styleId="Footer">
    <w:name w:val="footer"/>
    <w:basedOn w:val="Normal"/>
    <w:link w:val="FooterChar"/>
    <w:uiPriority w:val="99"/>
    <w:unhideWhenUsed/>
    <w:rsid w:val="004E0F9B"/>
    <w:pPr>
      <w:tabs>
        <w:tab w:val="center" w:pos="4513"/>
        <w:tab w:val="right" w:pos="9026"/>
      </w:tabs>
    </w:pPr>
  </w:style>
  <w:style w:type="character" w:customStyle="1" w:styleId="FooterChar">
    <w:name w:val="Footer Char"/>
    <w:basedOn w:val="DefaultParagraphFont"/>
    <w:link w:val="Footer"/>
    <w:uiPriority w:val="99"/>
    <w:rsid w:val="004E0F9B"/>
  </w:style>
  <w:style w:type="paragraph" w:styleId="Caption">
    <w:name w:val="caption"/>
    <w:basedOn w:val="Normal"/>
    <w:next w:val="Normal"/>
    <w:uiPriority w:val="35"/>
    <w:unhideWhenUsed/>
    <w:qFormat/>
    <w:rsid w:val="00BE25CF"/>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Flows Again in Laas Qoray — TASS WASH Project 38186</dc:title>
  <dc:creator>Moses Kiprono / TASS</dc:creator>
  <dc:description>TASS website communication piece on SHF-funded WASH response in Laas Qoray District</dc:description>
  <cp:lastModifiedBy>Moses Koech</cp:lastModifiedBy>
  <cp:revision>51</cp:revision>
  <dcterms:created xsi:type="dcterms:W3CDTF">2026-05-23T17:26:00Z</dcterms:created>
  <dcterms:modified xsi:type="dcterms:W3CDTF">2026-05-23T18:59:00Z</dcterms:modified>
</cp:coreProperties>
</file>